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5E54" w14:textId="77777777" w:rsidR="008D70DA" w:rsidRPr="00F86E94" w:rsidRDefault="008D70DA">
      <w:pPr>
        <w:rPr>
          <w:b/>
          <w:sz w:val="32"/>
        </w:rPr>
      </w:pPr>
      <w:r w:rsidRPr="00F86E94">
        <w:rPr>
          <w:b/>
          <w:sz w:val="32"/>
        </w:rPr>
        <w:t>Zeckenstich</w:t>
      </w:r>
    </w:p>
    <w:p w14:paraId="688E7BAE" w14:textId="77777777" w:rsidR="008D70DA" w:rsidRDefault="008D70DA"/>
    <w:p w14:paraId="3D2BA0C5" w14:textId="5AD6A8BE" w:rsidR="008D70DA" w:rsidRDefault="003D082A">
      <w:r>
        <w:t>H</w:t>
      </w:r>
      <w:r w:rsidR="00F133CC">
        <w:t xml:space="preserve">äufiger Beratungsanlass in den Sommermonaten </w:t>
      </w:r>
      <w:r>
        <w:t xml:space="preserve">ist der Zeckenstich. Patienten kommen </w:t>
      </w:r>
      <w:r w:rsidR="00F133CC">
        <w:t xml:space="preserve">mit noch vollständiger Zecke, mal </w:t>
      </w:r>
      <w:r w:rsidR="002A0654">
        <w:t xml:space="preserve">nur </w:t>
      </w:r>
      <w:r w:rsidR="00F133CC">
        <w:t>mit dem Beißwerkzeug, das stec</w:t>
      </w:r>
      <w:r w:rsidR="002A0654">
        <w:t>ken geblieben ist, mal mit</w:t>
      </w:r>
      <w:r w:rsidR="00F133CC">
        <w:t xml:space="preserve"> Rötung um die Einstichstelle oder auch nach Jahren mit unspezifischen </w:t>
      </w:r>
      <w:r w:rsidR="002A0654">
        <w:t xml:space="preserve">Symptomen. Oft </w:t>
      </w:r>
      <w:r w:rsidR="007379AE">
        <w:t>besteht</w:t>
      </w:r>
      <w:r w:rsidR="00F133CC">
        <w:t xml:space="preserve"> die Angst vor den Folgeerkrankungen, wie </w:t>
      </w:r>
      <w:proofErr w:type="spellStart"/>
      <w:r w:rsidR="00F133CC">
        <w:t>Lyme</w:t>
      </w:r>
      <w:proofErr w:type="spellEnd"/>
      <w:r w:rsidR="00F133CC">
        <w:t>-Borreliose und FSME</w:t>
      </w:r>
      <w:r w:rsidR="002A0654">
        <w:t>.</w:t>
      </w:r>
    </w:p>
    <w:p w14:paraId="4DC3883F" w14:textId="77777777" w:rsidR="00F133CC" w:rsidRDefault="00F133CC"/>
    <w:p w14:paraId="614EBB31" w14:textId="77777777" w:rsidR="00F133CC" w:rsidRPr="00F86E94" w:rsidRDefault="00F133CC">
      <w:pPr>
        <w:rPr>
          <w:b/>
        </w:rPr>
      </w:pPr>
      <w:r w:rsidRPr="00F86E94">
        <w:rPr>
          <w:b/>
        </w:rPr>
        <w:t>Vorgehen nach Situation</w:t>
      </w:r>
    </w:p>
    <w:p w14:paraId="24702CA1" w14:textId="77777777" w:rsidR="00F133CC" w:rsidRPr="001B36D2" w:rsidRDefault="00F133CC">
      <w:pPr>
        <w:rPr>
          <w:b/>
        </w:rPr>
      </w:pPr>
      <w:r w:rsidRPr="001B36D2">
        <w:rPr>
          <w:b/>
        </w:rPr>
        <w:t>Zecke ist noch vollständig festgestochen</w:t>
      </w:r>
    </w:p>
    <w:p w14:paraId="7E6CF08E" w14:textId="77777777" w:rsidR="00C06D9F" w:rsidRDefault="00C06D9F" w:rsidP="00F86E94">
      <w:pPr>
        <w:pStyle w:val="Listenabsatz"/>
        <w:numPr>
          <w:ilvl w:val="0"/>
          <w:numId w:val="2"/>
        </w:numPr>
      </w:pPr>
      <w:r>
        <w:t>Vollständige baldige Entfernung der Zecke</w:t>
      </w:r>
    </w:p>
    <w:p w14:paraId="34557026" w14:textId="77777777" w:rsidR="00C06D9F" w:rsidRDefault="00C06D9F" w:rsidP="00F86E94">
      <w:pPr>
        <w:pStyle w:val="Listenabsatz"/>
        <w:numPr>
          <w:ilvl w:val="0"/>
          <w:numId w:val="2"/>
        </w:numPr>
      </w:pPr>
      <w:r>
        <w:t>Mögliche Hilfsmittel: Pinzette, Zange, Scheckkarte</w:t>
      </w:r>
    </w:p>
    <w:p w14:paraId="4CBC1F52" w14:textId="77777777" w:rsidR="00C06D9F" w:rsidRDefault="00C06D9F"/>
    <w:p w14:paraId="680A6B7F" w14:textId="77777777" w:rsidR="00F133CC" w:rsidRPr="001B36D2" w:rsidRDefault="00F133CC">
      <w:pPr>
        <w:rPr>
          <w:b/>
        </w:rPr>
      </w:pPr>
      <w:r w:rsidRPr="001B36D2">
        <w:rPr>
          <w:b/>
        </w:rPr>
        <w:t>Zecke ist unvollständig entfernt</w:t>
      </w:r>
    </w:p>
    <w:p w14:paraId="72CAD7C0" w14:textId="77777777" w:rsidR="00C06D9F" w:rsidRDefault="00C06D9F" w:rsidP="00F86E94">
      <w:pPr>
        <w:pStyle w:val="Listenabsatz"/>
        <w:numPr>
          <w:ilvl w:val="0"/>
          <w:numId w:val="3"/>
        </w:numPr>
      </w:pPr>
      <w:r>
        <w:t>Belassen und Entfernen möglich</w:t>
      </w:r>
    </w:p>
    <w:p w14:paraId="6AC3E12D" w14:textId="77777777" w:rsidR="00C06D9F" w:rsidRDefault="00C06D9F" w:rsidP="00F86E94">
      <w:pPr>
        <w:pStyle w:val="Listenabsatz"/>
        <w:numPr>
          <w:ilvl w:val="0"/>
          <w:numId w:val="3"/>
        </w:numPr>
      </w:pPr>
      <w:r>
        <w:t>kein weiterer Schaden zu erwarten</w:t>
      </w:r>
    </w:p>
    <w:p w14:paraId="77A26212" w14:textId="77777777" w:rsidR="00C06D9F" w:rsidRDefault="00C06D9F" w:rsidP="00F86E94">
      <w:pPr>
        <w:pStyle w:val="Listenabsatz"/>
        <w:numPr>
          <w:ilvl w:val="0"/>
          <w:numId w:val="3"/>
        </w:numPr>
      </w:pPr>
      <w:r>
        <w:t>Bei Patientenangst Entfernung mit Kanüle (evtl. mit abgebogener Spitze)</w:t>
      </w:r>
    </w:p>
    <w:p w14:paraId="2B994DDE" w14:textId="77777777" w:rsidR="00C06D9F" w:rsidRDefault="00C06D9F"/>
    <w:p w14:paraId="334D04E8" w14:textId="77777777" w:rsidR="00F133CC" w:rsidRPr="001B36D2" w:rsidRDefault="00F133CC">
      <w:pPr>
        <w:rPr>
          <w:b/>
        </w:rPr>
      </w:pPr>
      <w:r w:rsidRPr="001B36D2">
        <w:rPr>
          <w:b/>
        </w:rPr>
        <w:t>Zecke bereits vollständig entfernt</w:t>
      </w:r>
    </w:p>
    <w:p w14:paraId="2CC20828" w14:textId="77777777" w:rsidR="00C06D9F" w:rsidRDefault="00C06D9F" w:rsidP="00F86E94">
      <w:pPr>
        <w:pStyle w:val="Listenabsatz"/>
        <w:numPr>
          <w:ilvl w:val="0"/>
          <w:numId w:val="4"/>
        </w:numPr>
      </w:pPr>
      <w:r>
        <w:t>Beurteilung der Einstichstelle</w:t>
      </w:r>
    </w:p>
    <w:p w14:paraId="2ABFB223" w14:textId="77777777" w:rsidR="00C06D9F" w:rsidRDefault="00C06D9F" w:rsidP="00F86E94">
      <w:pPr>
        <w:pStyle w:val="Listenabsatz"/>
        <w:numPr>
          <w:ilvl w:val="0"/>
          <w:numId w:val="4"/>
        </w:numPr>
      </w:pPr>
      <w:r>
        <w:t xml:space="preserve">Hinweise auf Erythema </w:t>
      </w:r>
      <w:proofErr w:type="spellStart"/>
      <w:r>
        <w:t>migrans</w:t>
      </w:r>
      <w:proofErr w:type="spellEnd"/>
      <w:r>
        <w:t xml:space="preserve"> prüfen</w:t>
      </w:r>
    </w:p>
    <w:p w14:paraId="1721A6C2" w14:textId="77777777" w:rsidR="00C06D9F" w:rsidRDefault="00C06D9F"/>
    <w:p w14:paraId="0107233E" w14:textId="77777777" w:rsidR="00F133CC" w:rsidRPr="001B36D2" w:rsidRDefault="00F133CC">
      <w:pPr>
        <w:rPr>
          <w:b/>
        </w:rPr>
      </w:pPr>
      <w:r w:rsidRPr="001B36D2">
        <w:rPr>
          <w:b/>
        </w:rPr>
        <w:t>Stich</w:t>
      </w:r>
      <w:r w:rsidR="00C06D9F" w:rsidRPr="001B36D2">
        <w:rPr>
          <w:b/>
        </w:rPr>
        <w:t xml:space="preserve"> </w:t>
      </w:r>
      <w:r w:rsidRPr="001B36D2">
        <w:rPr>
          <w:b/>
        </w:rPr>
        <w:t>liegt lange zurück</w:t>
      </w:r>
    </w:p>
    <w:p w14:paraId="09DFAEEF" w14:textId="77777777" w:rsidR="00C06D9F" w:rsidRDefault="00C06D9F" w:rsidP="00F86E94">
      <w:pPr>
        <w:pStyle w:val="Listenabsatz"/>
        <w:numPr>
          <w:ilvl w:val="0"/>
          <w:numId w:val="5"/>
        </w:numPr>
      </w:pPr>
      <w:r>
        <w:t>Symptome erheben</w:t>
      </w:r>
    </w:p>
    <w:p w14:paraId="6546BD25" w14:textId="77777777" w:rsidR="00C06D9F" w:rsidRDefault="00C06D9F" w:rsidP="00F86E94">
      <w:pPr>
        <w:pStyle w:val="Listenabsatz"/>
        <w:numPr>
          <w:ilvl w:val="0"/>
          <w:numId w:val="5"/>
        </w:numPr>
      </w:pPr>
      <w:r>
        <w:t>Verbindung herstellen</w:t>
      </w:r>
    </w:p>
    <w:p w14:paraId="65D3343B" w14:textId="77777777" w:rsidR="00C06D9F" w:rsidRDefault="00C06D9F" w:rsidP="00F86E94">
      <w:pPr>
        <w:pStyle w:val="Listenabsatz"/>
        <w:numPr>
          <w:ilvl w:val="0"/>
          <w:numId w:val="5"/>
        </w:numPr>
      </w:pPr>
      <w:r>
        <w:t>Labordiagnostik</w:t>
      </w:r>
    </w:p>
    <w:p w14:paraId="7287A049" w14:textId="77777777" w:rsidR="00C06D9F" w:rsidRDefault="00C06D9F"/>
    <w:p w14:paraId="581CFD17" w14:textId="77777777" w:rsidR="00F86E94" w:rsidRPr="001B36D2" w:rsidRDefault="00F86E94">
      <w:pPr>
        <w:rPr>
          <w:b/>
        </w:rPr>
      </w:pPr>
      <w:r w:rsidRPr="001B36D2">
        <w:rPr>
          <w:b/>
        </w:rPr>
        <w:t>Immer</w:t>
      </w:r>
    </w:p>
    <w:p w14:paraId="6B263CD6" w14:textId="77777777" w:rsidR="00F86E94" w:rsidRDefault="00F86E94" w:rsidP="001B36D2">
      <w:pPr>
        <w:pStyle w:val="Listenabsatz"/>
        <w:numPr>
          <w:ilvl w:val="0"/>
          <w:numId w:val="6"/>
        </w:numPr>
      </w:pPr>
      <w:r>
        <w:t>Patienten beruhigen</w:t>
      </w:r>
    </w:p>
    <w:p w14:paraId="34F8C3A5" w14:textId="77777777" w:rsidR="00F86E94" w:rsidRDefault="00F86E94" w:rsidP="001B36D2">
      <w:pPr>
        <w:pStyle w:val="Listenabsatz"/>
        <w:numPr>
          <w:ilvl w:val="0"/>
          <w:numId w:val="6"/>
        </w:numPr>
      </w:pPr>
      <w:r>
        <w:t>Tetanus- und FSME Schutzimpfungen überprüfen</w:t>
      </w:r>
    </w:p>
    <w:p w14:paraId="46766BFB" w14:textId="77777777" w:rsidR="00F86E94" w:rsidRDefault="00F86E94" w:rsidP="001B36D2">
      <w:pPr>
        <w:pStyle w:val="Listenabsatz"/>
        <w:numPr>
          <w:ilvl w:val="0"/>
          <w:numId w:val="6"/>
        </w:numPr>
      </w:pPr>
      <w:r>
        <w:t>Einstichstelle beobachten (lassen)</w:t>
      </w:r>
    </w:p>
    <w:p w14:paraId="48194A42" w14:textId="77777777" w:rsidR="00F86E94" w:rsidRDefault="00F86E94" w:rsidP="001B36D2">
      <w:pPr>
        <w:pStyle w:val="Listenabsatz"/>
        <w:numPr>
          <w:ilvl w:val="0"/>
          <w:numId w:val="6"/>
        </w:numPr>
      </w:pPr>
      <w:r>
        <w:t>Keine routinemäßige Labordiagnostik</w:t>
      </w:r>
    </w:p>
    <w:p w14:paraId="0D42AA29" w14:textId="77777777" w:rsidR="00F86E94" w:rsidRDefault="00F86E94"/>
    <w:p w14:paraId="518694C0" w14:textId="77777777" w:rsidR="00C06D9F" w:rsidRPr="001B36D2" w:rsidRDefault="00C06D9F">
      <w:pPr>
        <w:rPr>
          <w:b/>
        </w:rPr>
      </w:pPr>
      <w:r w:rsidRPr="001B36D2">
        <w:rPr>
          <w:b/>
        </w:rPr>
        <w:t xml:space="preserve">Erkennen des Erythema </w:t>
      </w:r>
      <w:proofErr w:type="spellStart"/>
      <w:r w:rsidRPr="001B36D2">
        <w:rPr>
          <w:b/>
        </w:rPr>
        <w:t>migrans</w:t>
      </w:r>
      <w:proofErr w:type="spellEnd"/>
      <w:r w:rsidR="0070087F" w:rsidRPr="001B36D2">
        <w:rPr>
          <w:b/>
        </w:rPr>
        <w:t xml:space="preserve"> (Stadium I) – Tage bis Wochen</w:t>
      </w:r>
    </w:p>
    <w:p w14:paraId="330569E2" w14:textId="3133AC85" w:rsidR="00C06D9F" w:rsidRDefault="00C06D9F">
      <w:r>
        <w:t xml:space="preserve">Auftreten </w:t>
      </w:r>
      <w:r w:rsidR="003D082A">
        <w:t xml:space="preserve">erst </w:t>
      </w:r>
      <w:r>
        <w:t>nach 3-7 Tagen</w:t>
      </w:r>
      <w:r w:rsidR="005A1BAC">
        <w:t>, gelegentlich bis zu 6 Wochen später</w:t>
      </w:r>
    </w:p>
    <w:p w14:paraId="71BBDEA9" w14:textId="77777777" w:rsidR="00C06D9F" w:rsidRDefault="00C06D9F">
      <w:r>
        <w:t>Größenzunahme</w:t>
      </w:r>
    </w:p>
    <w:p w14:paraId="4F59F83F" w14:textId="77777777" w:rsidR="00C06D9F" w:rsidRDefault="00C06D9F">
      <w:r>
        <w:t xml:space="preserve">Schießscheibenartig, nicht wegdrückbar, Farbe </w:t>
      </w:r>
      <w:proofErr w:type="spellStart"/>
      <w:r>
        <w:t>rot</w:t>
      </w:r>
      <w:proofErr w:type="spellEnd"/>
      <w:r>
        <w:t xml:space="preserve"> bis livide, blau</w:t>
      </w:r>
    </w:p>
    <w:p w14:paraId="499576A8" w14:textId="77777777" w:rsidR="00C06D9F" w:rsidRDefault="00C06D9F">
      <w:r>
        <w:t>Auch abseits der Einstichstellen oder multilokal möglich</w:t>
      </w:r>
    </w:p>
    <w:p w14:paraId="05F5E8D8" w14:textId="77777777" w:rsidR="00C06D9F" w:rsidRDefault="00C06D9F">
      <w:r>
        <w:t>Schmerzlos, teils mit allgemeinem Krankheitsgefühl</w:t>
      </w:r>
    </w:p>
    <w:p w14:paraId="45F269D4" w14:textId="77777777" w:rsidR="001B36D2" w:rsidRDefault="001B36D2">
      <w:r>
        <w:br w:type="page"/>
      </w:r>
    </w:p>
    <w:p w14:paraId="7FD2CF2A" w14:textId="77777777" w:rsidR="0070087F" w:rsidRPr="001B36D2" w:rsidRDefault="0070087F">
      <w:pPr>
        <w:rPr>
          <w:b/>
        </w:rPr>
      </w:pPr>
      <w:r w:rsidRPr="001B36D2">
        <w:rPr>
          <w:b/>
        </w:rPr>
        <w:lastRenderedPageBreak/>
        <w:t>Frühe disseminierte Infektion (Stadium II) - Wochen bis Monate</w:t>
      </w:r>
    </w:p>
    <w:p w14:paraId="556286B4" w14:textId="2809041E" w:rsidR="0070087F" w:rsidRDefault="001A2B0C">
      <w:proofErr w:type="spellStart"/>
      <w:r>
        <w:t>Radikuläre</w:t>
      </w:r>
      <w:proofErr w:type="spellEnd"/>
      <w:r>
        <w:t xml:space="preserve"> Schmerzen, a</w:t>
      </w:r>
      <w:r w:rsidR="0070087F">
        <w:t>sym</w:t>
      </w:r>
      <w:r>
        <w:t>m</w:t>
      </w:r>
      <w:r w:rsidR="0070087F">
        <w:t xml:space="preserve">etrische Paresen, Hirnnervenausfälle, Kopfschmerzen, </w:t>
      </w:r>
      <w:proofErr w:type="spellStart"/>
      <w:r w:rsidR="0070087F">
        <w:t>Meningismus</w:t>
      </w:r>
      <w:proofErr w:type="spellEnd"/>
      <w:r w:rsidR="0070087F">
        <w:t>, Myokarditis</w:t>
      </w:r>
    </w:p>
    <w:p w14:paraId="3FD67863" w14:textId="77777777" w:rsidR="0070087F" w:rsidRDefault="0070087F"/>
    <w:p w14:paraId="21D5555E" w14:textId="77777777" w:rsidR="0070087F" w:rsidRPr="001B36D2" w:rsidRDefault="0070087F">
      <w:pPr>
        <w:rPr>
          <w:b/>
        </w:rPr>
      </w:pPr>
      <w:r w:rsidRPr="001B36D2">
        <w:rPr>
          <w:b/>
        </w:rPr>
        <w:t>Späte disseminierte Infektion (Stadium III) - Monate bis Jahre</w:t>
      </w:r>
    </w:p>
    <w:p w14:paraId="1038C41A" w14:textId="77777777" w:rsidR="0070087F" w:rsidRDefault="0070087F">
      <w:r>
        <w:t>Arthritis, Hauterscheinungen vor allem der Streckseiten (meist einseitig, ödematös bis atrophisch)</w:t>
      </w:r>
    </w:p>
    <w:p w14:paraId="6CC7E1D3" w14:textId="77777777" w:rsidR="0070087F" w:rsidRDefault="0070087F">
      <w:r>
        <w:t>Selten sehr variable Symptomatik oder chronische Verläufe</w:t>
      </w:r>
    </w:p>
    <w:p w14:paraId="4B2F4753" w14:textId="77777777" w:rsidR="0070087F" w:rsidRDefault="0070087F"/>
    <w:p w14:paraId="6FD015BD" w14:textId="77777777" w:rsidR="00F86E94" w:rsidRDefault="00F86E94">
      <w:r>
        <w:t>Bei Verdacht auf Stadium II oder III</w:t>
      </w:r>
    </w:p>
    <w:p w14:paraId="1CDEE4A8" w14:textId="6CE39F1A" w:rsidR="001B36D2" w:rsidRDefault="001B36D2">
      <w:r>
        <w:t xml:space="preserve">Nachweis </w:t>
      </w:r>
      <w:proofErr w:type="spellStart"/>
      <w:r>
        <w:t>Borreli</w:t>
      </w:r>
      <w:r w:rsidR="005A1BAC">
        <w:t>en</w:t>
      </w:r>
      <w:proofErr w:type="spellEnd"/>
      <w:r w:rsidR="005A1BAC">
        <w:t>-spezifischer Antikörper (ger</w:t>
      </w:r>
      <w:r>
        <w:t>inge Spezifität)</w:t>
      </w:r>
    </w:p>
    <w:p w14:paraId="2DF6B136" w14:textId="77777777" w:rsidR="001B36D2" w:rsidRDefault="001B36D2">
      <w:r>
        <w:t xml:space="preserve">Bei Neuroborreliose </w:t>
      </w:r>
      <w:proofErr w:type="spellStart"/>
      <w:r>
        <w:t>Borrelien</w:t>
      </w:r>
      <w:proofErr w:type="spellEnd"/>
      <w:r>
        <w:t xml:space="preserve">-AK-Liquor/Serum-Index (Nachweis </w:t>
      </w:r>
      <w:proofErr w:type="spellStart"/>
      <w:r>
        <w:t>autochtoner</w:t>
      </w:r>
      <w:proofErr w:type="spellEnd"/>
      <w:r>
        <w:t xml:space="preserve"> AK Produktion im Liquor)</w:t>
      </w:r>
    </w:p>
    <w:p w14:paraId="6BF93696" w14:textId="77777777" w:rsidR="001B36D2" w:rsidRDefault="001B36D2">
      <w:r>
        <w:t>Direkter Erregernachweis schwierig</w:t>
      </w:r>
    </w:p>
    <w:p w14:paraId="52B00DC1" w14:textId="77777777" w:rsidR="0070087F" w:rsidRDefault="0070087F"/>
    <w:p w14:paraId="470C894B" w14:textId="77777777" w:rsidR="005306A5" w:rsidRPr="001B36D2" w:rsidRDefault="005306A5">
      <w:pPr>
        <w:rPr>
          <w:b/>
        </w:rPr>
      </w:pPr>
      <w:r w:rsidRPr="001B36D2">
        <w:rPr>
          <w:b/>
        </w:rPr>
        <w:t>Therapie</w:t>
      </w:r>
    </w:p>
    <w:p w14:paraId="46FBD677" w14:textId="77777777" w:rsidR="0070087F" w:rsidRPr="001B36D2" w:rsidRDefault="0070087F">
      <w:pPr>
        <w:rPr>
          <w:b/>
        </w:rPr>
      </w:pPr>
      <w:r w:rsidRPr="001B36D2">
        <w:rPr>
          <w:b/>
        </w:rPr>
        <w:t xml:space="preserve">Erythema </w:t>
      </w:r>
      <w:proofErr w:type="spellStart"/>
      <w:r w:rsidRPr="001B36D2">
        <w:rPr>
          <w:b/>
        </w:rPr>
        <w:t>migrans</w:t>
      </w:r>
      <w:proofErr w:type="spellEnd"/>
    </w:p>
    <w:p w14:paraId="465F735D" w14:textId="77777777" w:rsidR="005306A5" w:rsidRDefault="005306A5">
      <w:r>
        <w:t>Stan</w:t>
      </w:r>
      <w:r w:rsidR="0070087F">
        <w:t>dard:</w:t>
      </w:r>
      <w:r w:rsidR="0070087F">
        <w:tab/>
      </w:r>
      <w:proofErr w:type="spellStart"/>
      <w:r>
        <w:t>Doxycyclin</w:t>
      </w:r>
      <w:proofErr w:type="spellEnd"/>
      <w:r w:rsidR="0070087F">
        <w:t xml:space="preserve"> </w:t>
      </w:r>
      <w:proofErr w:type="spellStart"/>
      <w:r w:rsidR="0070087F">
        <w:t>p.o</w:t>
      </w:r>
      <w:proofErr w:type="spellEnd"/>
      <w:r w:rsidR="0070087F">
        <w:t>.</w:t>
      </w:r>
      <w:r>
        <w:t xml:space="preserve"> 2 x 100mg über 14 Tage (In der Literatur 10 bis 20 Tage)</w:t>
      </w:r>
    </w:p>
    <w:p w14:paraId="56D99259" w14:textId="77777777" w:rsidR="005306A5" w:rsidRDefault="0070087F">
      <w:r>
        <w:tab/>
      </w:r>
      <w:r>
        <w:tab/>
      </w:r>
      <w:proofErr w:type="spellStart"/>
      <w:r w:rsidR="005306A5">
        <w:t>Phototoxizität</w:t>
      </w:r>
      <w:proofErr w:type="spellEnd"/>
      <w:r w:rsidR="005306A5">
        <w:t xml:space="preserve"> beachten</w:t>
      </w:r>
    </w:p>
    <w:p w14:paraId="735B8F05" w14:textId="1A8AA649" w:rsidR="005A1BAC" w:rsidRDefault="005A1BAC">
      <w:r>
        <w:tab/>
      </w:r>
      <w:r>
        <w:tab/>
        <w:t xml:space="preserve">Nicht gleichzeitig mit Milch, Mg**, </w:t>
      </w:r>
      <w:proofErr w:type="spellStart"/>
      <w:r>
        <w:t>Ca</w:t>
      </w:r>
      <w:proofErr w:type="spellEnd"/>
      <w:r>
        <w:t>** zwei Stunden vorher und nachher</w:t>
      </w:r>
    </w:p>
    <w:p w14:paraId="73D038D2" w14:textId="77777777" w:rsidR="005306A5" w:rsidRDefault="0070087F">
      <w:r>
        <w:t>Alternativ:</w:t>
      </w:r>
      <w:r>
        <w:tab/>
      </w:r>
      <w:proofErr w:type="spellStart"/>
      <w:r>
        <w:t>Amoxicillin</w:t>
      </w:r>
      <w:proofErr w:type="spellEnd"/>
      <w:r>
        <w:t xml:space="preserve"> </w:t>
      </w:r>
      <w:proofErr w:type="spellStart"/>
      <w:r>
        <w:t>p.o</w:t>
      </w:r>
      <w:proofErr w:type="spellEnd"/>
      <w:r>
        <w:t>. (z.B. in der Schwangerschaft)</w:t>
      </w:r>
    </w:p>
    <w:p w14:paraId="1620BDFD" w14:textId="77777777" w:rsidR="0070087F" w:rsidRDefault="0070087F"/>
    <w:p w14:paraId="01254365" w14:textId="77777777" w:rsidR="0070087F" w:rsidRPr="001B36D2" w:rsidRDefault="0070087F">
      <w:pPr>
        <w:rPr>
          <w:b/>
        </w:rPr>
      </w:pPr>
      <w:r w:rsidRPr="001B36D2">
        <w:rPr>
          <w:b/>
        </w:rPr>
        <w:t>Neuroborreliose</w:t>
      </w:r>
    </w:p>
    <w:p w14:paraId="0D971AD0" w14:textId="77777777" w:rsidR="0070087F" w:rsidRDefault="0070087F" w:rsidP="0070087F">
      <w:r>
        <w:t>Standard:</w:t>
      </w:r>
      <w:r>
        <w:tab/>
      </w:r>
      <w:proofErr w:type="spellStart"/>
      <w:r>
        <w:t>Doxycyclin</w:t>
      </w:r>
      <w:proofErr w:type="spellEnd"/>
      <w:r>
        <w:t xml:space="preserve"> </w:t>
      </w:r>
      <w:proofErr w:type="spellStart"/>
      <w:r>
        <w:t>p.o</w:t>
      </w:r>
      <w:proofErr w:type="spellEnd"/>
      <w:r>
        <w:t>. 2 x 100mg über 14 Tage (In der Literatur 10 bis 20 Tage)</w:t>
      </w:r>
    </w:p>
    <w:p w14:paraId="78EC5BFA" w14:textId="77777777" w:rsidR="0070087F" w:rsidRDefault="0070087F" w:rsidP="0070087F">
      <w:r>
        <w:tab/>
      </w:r>
      <w:r>
        <w:tab/>
      </w:r>
      <w:proofErr w:type="spellStart"/>
      <w:r>
        <w:t>Phototoxizität</w:t>
      </w:r>
      <w:proofErr w:type="spellEnd"/>
      <w:r>
        <w:t xml:space="preserve"> beachten</w:t>
      </w:r>
    </w:p>
    <w:p w14:paraId="3C28FD4A" w14:textId="7330050A" w:rsidR="00DB4B0F" w:rsidRDefault="00DB4B0F" w:rsidP="0070087F">
      <w:r>
        <w:tab/>
      </w:r>
      <w:r>
        <w:tab/>
        <w:t xml:space="preserve">Späte </w:t>
      </w:r>
      <w:proofErr w:type="spellStart"/>
      <w:r>
        <w:t>Neurolborrelios</w:t>
      </w:r>
      <w:bookmarkStart w:id="0" w:name="_GoBack"/>
      <w:bookmarkEnd w:id="0"/>
      <w:r>
        <w:t>e</w:t>
      </w:r>
      <w:proofErr w:type="spellEnd"/>
      <w:r>
        <w:t xml:space="preserve"> 28 Tage therapieren</w:t>
      </w:r>
    </w:p>
    <w:p w14:paraId="1E9176ED" w14:textId="77777777" w:rsidR="00C06D9F" w:rsidRDefault="0070087F">
      <w:r>
        <w:t>Alternativ:</w:t>
      </w:r>
      <w:r>
        <w:tab/>
      </w:r>
      <w:proofErr w:type="spellStart"/>
      <w:r>
        <w:t>Ceftriaxon</w:t>
      </w:r>
      <w:proofErr w:type="spellEnd"/>
      <w:r>
        <w:t xml:space="preserve"> </w:t>
      </w:r>
      <w:proofErr w:type="spellStart"/>
      <w:r>
        <w:t>i.v.</w:t>
      </w:r>
      <w:proofErr w:type="spellEnd"/>
    </w:p>
    <w:p w14:paraId="4D8C2FF3" w14:textId="77777777" w:rsidR="0070087F" w:rsidRDefault="0070087F"/>
    <w:p w14:paraId="16184C8E" w14:textId="77777777" w:rsidR="0070087F" w:rsidRPr="001B36D2" w:rsidRDefault="0070087F">
      <w:pPr>
        <w:rPr>
          <w:b/>
        </w:rPr>
      </w:pPr>
      <w:proofErr w:type="spellStart"/>
      <w:r w:rsidRPr="001B36D2">
        <w:rPr>
          <w:b/>
        </w:rPr>
        <w:t>Lyme</w:t>
      </w:r>
      <w:proofErr w:type="spellEnd"/>
      <w:r w:rsidRPr="001B36D2">
        <w:rPr>
          <w:b/>
        </w:rPr>
        <w:t>-Arthritis</w:t>
      </w:r>
    </w:p>
    <w:p w14:paraId="3D3D9DCE" w14:textId="77777777" w:rsidR="0070087F" w:rsidRDefault="0070087F" w:rsidP="0070087F">
      <w:r>
        <w:t>Standard:</w:t>
      </w:r>
      <w:r>
        <w:tab/>
      </w:r>
      <w:proofErr w:type="spellStart"/>
      <w:r>
        <w:t>Doxycyclin</w:t>
      </w:r>
      <w:proofErr w:type="spellEnd"/>
      <w:r>
        <w:t xml:space="preserve"> </w:t>
      </w:r>
      <w:proofErr w:type="spellStart"/>
      <w:r>
        <w:t>p.o</w:t>
      </w:r>
      <w:proofErr w:type="spellEnd"/>
      <w:r>
        <w:t>. 2 x 100mg über 14 Tage (In der Literatur 10 bis 20 Tage)</w:t>
      </w:r>
    </w:p>
    <w:p w14:paraId="7FDBC6D7" w14:textId="77777777" w:rsidR="0070087F" w:rsidRDefault="0070087F" w:rsidP="0070087F">
      <w:r>
        <w:tab/>
      </w:r>
      <w:r>
        <w:tab/>
      </w:r>
      <w:proofErr w:type="spellStart"/>
      <w:r>
        <w:t>Ceftriaxon</w:t>
      </w:r>
      <w:proofErr w:type="spellEnd"/>
      <w:r>
        <w:t xml:space="preserve"> </w:t>
      </w:r>
      <w:proofErr w:type="spellStart"/>
      <w:r>
        <w:t>i.v.</w:t>
      </w:r>
      <w:proofErr w:type="spellEnd"/>
    </w:p>
    <w:p w14:paraId="2D683299" w14:textId="77777777" w:rsidR="0070087F" w:rsidRDefault="0070087F"/>
    <w:p w14:paraId="1169E13D" w14:textId="77777777" w:rsidR="00F86E94" w:rsidRPr="001B36D2" w:rsidRDefault="00F86E94">
      <w:pPr>
        <w:rPr>
          <w:b/>
        </w:rPr>
      </w:pPr>
      <w:r w:rsidRPr="001B36D2">
        <w:rPr>
          <w:b/>
        </w:rPr>
        <w:t>FSME</w:t>
      </w:r>
    </w:p>
    <w:p w14:paraId="25F2A9D8" w14:textId="77777777" w:rsidR="00F86E94" w:rsidRDefault="00F86E94">
      <w:r>
        <w:t>In 90% asymptomatischer Verlauf</w:t>
      </w:r>
    </w:p>
    <w:p w14:paraId="696A7E49" w14:textId="77777777" w:rsidR="00F86E94" w:rsidRDefault="00F86E94">
      <w:r>
        <w:t xml:space="preserve">10% haben einen zweigipfligen Verlauf, erst grippeähnliche Symptome, längeres symptomfreies Intervall, dann Fieber mit </w:t>
      </w:r>
      <w:proofErr w:type="spellStart"/>
      <w:r>
        <w:t>Meningoenzephalitis</w:t>
      </w:r>
      <w:proofErr w:type="spellEnd"/>
    </w:p>
    <w:p w14:paraId="357BA6EA" w14:textId="77777777" w:rsidR="00F86E94" w:rsidRDefault="00F86E94"/>
    <w:p w14:paraId="63BF242A" w14:textId="77777777" w:rsidR="00F86E94" w:rsidRDefault="00F86E94">
      <w:r>
        <w:t>In Deutschland 200-300 Fälle FSME pro Jahr</w:t>
      </w:r>
    </w:p>
    <w:p w14:paraId="36DB5233" w14:textId="77777777" w:rsidR="00F86E94" w:rsidRDefault="00F86E94">
      <w:r>
        <w:t>Im Landkreis 22 Fälle in den letzten 10 Jahren</w:t>
      </w:r>
    </w:p>
    <w:sectPr w:rsidR="00F86E94" w:rsidSect="003C0AD9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336F" w14:textId="77777777" w:rsidR="00CD6FB0" w:rsidRDefault="00CD6FB0" w:rsidP="001B36D2">
      <w:r>
        <w:separator/>
      </w:r>
    </w:p>
  </w:endnote>
  <w:endnote w:type="continuationSeparator" w:id="0">
    <w:p w14:paraId="07E9C4F3" w14:textId="77777777" w:rsidR="00CD6FB0" w:rsidRDefault="00CD6FB0" w:rsidP="001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1149" w14:textId="77777777" w:rsidR="00CD6FB0" w:rsidRDefault="00CD6FB0" w:rsidP="001B36D2">
      <w:r>
        <w:separator/>
      </w:r>
    </w:p>
  </w:footnote>
  <w:footnote w:type="continuationSeparator" w:id="0">
    <w:p w14:paraId="4FD2C622" w14:textId="77777777" w:rsidR="00CD6FB0" w:rsidRDefault="00CD6FB0" w:rsidP="001B3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EBBF" w14:textId="77777777" w:rsidR="001B36D2" w:rsidRDefault="001B36D2">
    <w:pPr>
      <w:pStyle w:val="Kopfzeile"/>
    </w:pPr>
    <w:r>
      <w:ptab w:relativeTo="margin" w:alignment="center" w:leader="none"/>
    </w:r>
    <w:r>
      <w:ptab w:relativeTo="margin" w:alignment="right" w:leader="none"/>
    </w:r>
    <w:r>
      <w:t>03.07.2017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15E"/>
    <w:multiLevelType w:val="hybridMultilevel"/>
    <w:tmpl w:val="441AE500"/>
    <w:lvl w:ilvl="0" w:tplc="0992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46AB3"/>
    <w:multiLevelType w:val="hybridMultilevel"/>
    <w:tmpl w:val="5EE840C0"/>
    <w:lvl w:ilvl="0" w:tplc="0992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275C"/>
    <w:multiLevelType w:val="hybridMultilevel"/>
    <w:tmpl w:val="3BFC97A0"/>
    <w:lvl w:ilvl="0" w:tplc="0992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F38E8"/>
    <w:multiLevelType w:val="hybridMultilevel"/>
    <w:tmpl w:val="A5DED478"/>
    <w:lvl w:ilvl="0" w:tplc="0992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64B4A"/>
    <w:multiLevelType w:val="hybridMultilevel"/>
    <w:tmpl w:val="373A1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A6C64"/>
    <w:multiLevelType w:val="hybridMultilevel"/>
    <w:tmpl w:val="5C941230"/>
    <w:lvl w:ilvl="0" w:tplc="0992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DA"/>
    <w:rsid w:val="000301DE"/>
    <w:rsid w:val="000A4C6C"/>
    <w:rsid w:val="001A2B0C"/>
    <w:rsid w:val="001B36D2"/>
    <w:rsid w:val="002A0654"/>
    <w:rsid w:val="003C0AD9"/>
    <w:rsid w:val="003D082A"/>
    <w:rsid w:val="005306A5"/>
    <w:rsid w:val="005A1BAC"/>
    <w:rsid w:val="0070087F"/>
    <w:rsid w:val="007379AE"/>
    <w:rsid w:val="008A6F4A"/>
    <w:rsid w:val="008B3D7B"/>
    <w:rsid w:val="008D70DA"/>
    <w:rsid w:val="00B54F60"/>
    <w:rsid w:val="00C06D9F"/>
    <w:rsid w:val="00CD6FB0"/>
    <w:rsid w:val="00DB4B0F"/>
    <w:rsid w:val="00E51F6D"/>
    <w:rsid w:val="00F133CC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82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E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36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6D2"/>
  </w:style>
  <w:style w:type="paragraph" w:styleId="Fuzeile">
    <w:name w:val="footer"/>
    <w:basedOn w:val="Standard"/>
    <w:link w:val="FuzeileZchn"/>
    <w:uiPriority w:val="99"/>
    <w:unhideWhenUsed/>
    <w:rsid w:val="001B36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Wolfgang Blank</cp:lastModifiedBy>
  <cp:revision>2</cp:revision>
  <dcterms:created xsi:type="dcterms:W3CDTF">2017-07-10T21:12:00Z</dcterms:created>
  <dcterms:modified xsi:type="dcterms:W3CDTF">2017-07-10T21:12:00Z</dcterms:modified>
</cp:coreProperties>
</file>